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492" w:rsidRDefault="00503492" w:rsidP="00503492">
      <w:pPr>
        <w:pStyle w:val="MDPI21heading1"/>
        <w:ind w:left="0"/>
        <w:rPr>
          <w:lang w:eastAsia="zh-CN"/>
        </w:rPr>
      </w:pPr>
      <w:r>
        <w:rPr>
          <w:lang w:eastAsia="zh-CN"/>
        </w:rPr>
        <w:t>Supplementary Materials</w:t>
      </w:r>
    </w:p>
    <w:p w:rsid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Table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S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1.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 Primer sets used in the transgenic overexpression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. </w:t>
      </w:r>
    </w:p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Table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S2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 xml:space="preserve">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Primer sets used in qRT-PCR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>.</w:t>
      </w:r>
    </w:p>
    <w:p w:rsid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Figure S1.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 Main economic characters of different silk-producing strain.</w:t>
      </w:r>
    </w:p>
    <w:p w:rsid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Figure S2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Expression of silk protein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transcription factor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in w</w:t>
      </w:r>
      <w:r w:rsid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ild type and transgenic lines. </w:t>
      </w:r>
    </w:p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Figure S3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Overexpression of </w:t>
      </w:r>
      <w:r w:rsidRPr="00503492">
        <w:rPr>
          <w:rFonts w:ascii="Palatino Linotype" w:eastAsia="Times New Roman" w:hAnsi="Palatino Linotype"/>
          <w:i/>
          <w:kern w:val="0"/>
          <w:sz w:val="18"/>
          <w:lang w:eastAsia="de-DE" w:bidi="en-US"/>
        </w:rPr>
        <w:t>BmJHBPd2</w:t>
      </w:r>
      <w:r w:rsidRPr="00503492">
        <w:rPr>
          <w:rFonts w:ascii="Palatino Linotype" w:eastAsia="Times New Roman" w:hAnsi="Palatino Linotype" w:hint="eastAsia"/>
          <w:i/>
          <w:kern w:val="0"/>
          <w:sz w:val="18"/>
          <w:lang w:eastAsia="de-DE" w:bidi="en-US"/>
        </w:rPr>
        <w:t xml:space="preserve"> 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results in inhibition of JH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catabolic enzyme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in silk gland</w:t>
      </w:r>
      <w:r w:rsid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</w:t>
      </w:r>
    </w:p>
    <w:p w:rsidR="0009632F" w:rsidRDefault="0009632F" w:rsidP="0009632F">
      <w:pPr>
        <w:spacing w:line="300" w:lineRule="auto"/>
        <w:outlineLvl w:val="0"/>
      </w:pPr>
    </w:p>
    <w:p w:rsidR="0009632F" w:rsidRDefault="0009632F" w:rsidP="0009632F">
      <w:pPr>
        <w:spacing w:line="300" w:lineRule="auto"/>
        <w:outlineLvl w:val="0"/>
      </w:pPr>
    </w:p>
    <w:p w:rsidR="0009632F" w:rsidRDefault="0009632F" w:rsidP="0009632F">
      <w:pPr>
        <w:spacing w:line="300" w:lineRule="auto"/>
        <w:outlineLvl w:val="0"/>
      </w:pPr>
    </w:p>
    <w:tbl>
      <w:tblPr>
        <w:tblStyle w:val="a7"/>
        <w:tblW w:w="4999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0"/>
        <w:gridCol w:w="6794"/>
      </w:tblGrid>
      <w:tr w:rsidR="0009632F" w:rsidTr="00E84281"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Gene</w:t>
            </w:r>
          </w:p>
        </w:tc>
        <w:tc>
          <w:tcPr>
            <w:tcW w:w="3759" w:type="pct"/>
            <w:tcBorders>
              <w:top w:val="single" w:sz="4" w:space="0" w:color="auto"/>
              <w:bottom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ind w:firstLineChars="850" w:firstLine="153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5’-3’</w:t>
            </w:r>
          </w:p>
        </w:tc>
      </w:tr>
      <w:tr w:rsidR="0009632F" w:rsidTr="00E84281">
        <w:trPr>
          <w:trHeight w:val="441"/>
        </w:trPr>
        <w:tc>
          <w:tcPr>
            <w:tcW w:w="1241" w:type="pct"/>
            <w:tcBorders>
              <w:top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BmJHBPd2</w:t>
            </w:r>
            <w:r>
              <w:rPr>
                <w:sz w:val="18"/>
                <w:szCs w:val="18"/>
              </w:rPr>
              <w:t xml:space="preserve"> F（</w:t>
            </w:r>
            <w:r w:rsidRPr="00316F03">
              <w:rPr>
                <w:i/>
                <w:sz w:val="18"/>
                <w:szCs w:val="18"/>
              </w:rPr>
              <w:t>Bam</w:t>
            </w:r>
            <w:r w:rsidRPr="00F245CB">
              <w:rPr>
                <w:i/>
                <w:sz w:val="18"/>
                <w:szCs w:val="18"/>
              </w:rPr>
              <w:t>H</w:t>
            </w:r>
            <w:r>
              <w:rPr>
                <w:sz w:val="18"/>
                <w:szCs w:val="18"/>
              </w:rPr>
              <w:t xml:space="preserve"> </w:t>
            </w:r>
            <w:r w:rsidRPr="00316F03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）</w:t>
            </w:r>
          </w:p>
        </w:tc>
        <w:tc>
          <w:tcPr>
            <w:tcW w:w="3759" w:type="pct"/>
            <w:tcBorders>
              <w:top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GGATCC</w:t>
            </w:r>
            <w:r>
              <w:rPr>
                <w:color w:val="000000"/>
                <w:sz w:val="18"/>
                <w:szCs w:val="18"/>
              </w:rPr>
              <w:t>ATGTGGACCGGTCTGTTTTTAGT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BmJHBPd2</w:t>
            </w:r>
            <w:r>
              <w:rPr>
                <w:sz w:val="18"/>
                <w:szCs w:val="18"/>
              </w:rPr>
              <w:t xml:space="preserve"> R（</w:t>
            </w:r>
            <w:r>
              <w:rPr>
                <w:i/>
                <w:sz w:val="18"/>
                <w:szCs w:val="18"/>
              </w:rPr>
              <w:t xml:space="preserve">Not </w:t>
            </w:r>
            <w:r>
              <w:rPr>
                <w:sz w:val="18"/>
                <w:szCs w:val="18"/>
              </w:rPr>
              <w:t xml:space="preserve">I-Myc）  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GCGGCCGC</w:t>
            </w:r>
            <w:r>
              <w:rPr>
                <w:color w:val="000000"/>
                <w:sz w:val="18"/>
                <w:szCs w:val="18"/>
              </w:rPr>
              <w:t>TTA</w:t>
            </w:r>
            <w:r>
              <w:rPr>
                <w:sz w:val="18"/>
                <w:szCs w:val="18"/>
                <w:u w:val="single"/>
              </w:rPr>
              <w:t>CAGATCCTCTTCTGAGATGAGTTTTTGTTC</w:t>
            </w:r>
            <w:r>
              <w:rPr>
                <w:color w:val="000000"/>
                <w:sz w:val="18"/>
                <w:szCs w:val="18"/>
              </w:rPr>
              <w:t>TTCGGGCATTAATTCGTCAA</w:t>
            </w:r>
          </w:p>
        </w:tc>
      </w:tr>
    </w:tbl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  <w:t>Table</w:t>
      </w:r>
      <w:r w:rsidRPr="00503492">
        <w:rPr>
          <w:rFonts w:ascii="Palatino Linotype" w:eastAsia="Times New Roman" w:hAnsi="Palatino Linotype" w:hint="eastAsia"/>
          <w:b/>
          <w:bCs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  <w:t>S</w:t>
      </w:r>
      <w:r w:rsidRPr="00503492">
        <w:rPr>
          <w:rFonts w:ascii="Palatino Linotype" w:eastAsia="Times New Roman" w:hAnsi="Palatino Linotype" w:hint="eastAsia"/>
          <w:b/>
          <w:bCs/>
          <w:kern w:val="0"/>
          <w:sz w:val="18"/>
          <w:lang w:eastAsia="de-DE" w:bidi="en-US"/>
        </w:rPr>
        <w:t>1.</w:t>
      </w:r>
      <w:r w:rsidRPr="00503492"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  <w:t xml:space="preserve"> 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Primer sets used in the transgenic overexpression</w:t>
      </w:r>
      <w:r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. The underlined sequence is </w:t>
      </w:r>
      <w:r w:rsidRPr="00CA7ACE">
        <w:rPr>
          <w:rFonts w:ascii="Palatino Linotype" w:eastAsia="Times New Roman" w:hAnsi="Palatino Linotype" w:hint="eastAsia"/>
          <w:bCs/>
          <w:i/>
          <w:kern w:val="0"/>
          <w:sz w:val="18"/>
          <w:lang w:eastAsia="de-DE" w:bidi="en-US"/>
        </w:rPr>
        <w:t>BamH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</w:t>
      </w:r>
      <w:r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I restriction site, </w:t>
      </w:r>
      <w:r w:rsidRPr="00CA7ACE">
        <w:rPr>
          <w:rFonts w:ascii="Palatino Linotype" w:eastAsia="Times New Roman" w:hAnsi="Palatino Linotype" w:hint="eastAsia"/>
          <w:bCs/>
          <w:i/>
          <w:kern w:val="0"/>
          <w:sz w:val="18"/>
          <w:lang w:eastAsia="de-DE" w:bidi="en-US"/>
        </w:rPr>
        <w:t>Not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</w:t>
      </w:r>
      <w:r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>I res</w:t>
      </w:r>
      <w:bookmarkStart w:id="0" w:name="_GoBack"/>
      <w:bookmarkEnd w:id="0"/>
      <w:r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>triction site and Myc tag sequence.</w:t>
      </w:r>
    </w:p>
    <w:p w:rsidR="0009632F" w:rsidRDefault="0009632F" w:rsidP="0009632F">
      <w:pPr>
        <w:pStyle w:val="a9"/>
        <w:jc w:val="both"/>
        <w:rPr>
          <w:rStyle w:val="a8"/>
          <w:b w:val="0"/>
          <w:bCs w:val="0"/>
        </w:rPr>
      </w:pPr>
      <w:r>
        <w:rPr>
          <w:rStyle w:val="a8"/>
          <w:rFonts w:hint="eastAsia"/>
          <w:b w:val="0"/>
          <w:bCs w:val="0"/>
        </w:rPr>
        <w:t xml:space="preserve"> </w:t>
      </w:r>
    </w:p>
    <w:tbl>
      <w:tblPr>
        <w:tblStyle w:val="a7"/>
        <w:tblW w:w="4999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61"/>
        <w:gridCol w:w="6243"/>
      </w:tblGrid>
      <w:tr w:rsidR="0009632F" w:rsidTr="00E84281">
        <w:tc>
          <w:tcPr>
            <w:tcW w:w="1241" w:type="pct"/>
            <w:tcBorders>
              <w:top w:val="single" w:sz="4" w:space="0" w:color="auto"/>
              <w:bottom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Gene</w:t>
            </w:r>
          </w:p>
        </w:tc>
        <w:tc>
          <w:tcPr>
            <w:tcW w:w="3759" w:type="pct"/>
            <w:tcBorders>
              <w:top w:val="single" w:sz="4" w:space="0" w:color="auto"/>
              <w:bottom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ind w:firstLineChars="850" w:firstLine="153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5’-3’</w:t>
            </w:r>
          </w:p>
        </w:tc>
      </w:tr>
      <w:tr w:rsidR="0009632F" w:rsidTr="00E84281">
        <w:trPr>
          <w:trHeight w:val="441"/>
        </w:trPr>
        <w:tc>
          <w:tcPr>
            <w:tcW w:w="1241" w:type="pct"/>
            <w:tcBorders>
              <w:top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BmJHBPd2</w:t>
            </w:r>
            <w:r w:rsidRPr="00F245CB">
              <w:rPr>
                <w:sz w:val="18"/>
                <w:szCs w:val="18"/>
              </w:rPr>
              <w:t>-F</w:t>
            </w:r>
          </w:p>
        </w:tc>
        <w:tc>
          <w:tcPr>
            <w:tcW w:w="3759" w:type="pct"/>
            <w:tcBorders>
              <w:top w:val="single" w:sz="4" w:space="0" w:color="auto"/>
            </w:tcBorders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color w:val="000000"/>
                <w:sz w:val="18"/>
                <w:szCs w:val="18"/>
              </w:rPr>
            </w:pPr>
            <w:r w:rsidRPr="000C5B2E">
              <w:rPr>
                <w:sz w:val="18"/>
                <w:szCs w:val="18"/>
                <w:u w:val="single"/>
              </w:rPr>
              <w:t>TAGAAAAGGCTGTGTTTCGC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BmJHBPd2</w:t>
            </w:r>
            <w:r>
              <w:rPr>
                <w:sz w:val="18"/>
                <w:szCs w:val="18"/>
              </w:rPr>
              <w:t>-R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0C5B2E">
              <w:rPr>
                <w:sz w:val="18"/>
                <w:szCs w:val="18"/>
                <w:u w:val="single"/>
              </w:rPr>
              <w:t>ATGAGTGATCCGCAGATTT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Pr="00D04530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 w:rsidRPr="00F17A10">
              <w:rPr>
                <w:i/>
                <w:sz w:val="18"/>
                <w:szCs w:val="18"/>
              </w:rPr>
              <w:t>BmfibH-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Pr="00F17A10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i/>
                <w:sz w:val="18"/>
                <w:szCs w:val="18"/>
              </w:rPr>
              <w:t>TCTGTGTCATCTGCTTCATCTCG</w:t>
            </w:r>
          </w:p>
        </w:tc>
      </w:tr>
      <w:tr w:rsidR="0009632F" w:rsidRPr="00F245CB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BmfibH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  <w:r w:rsidRPr="00F17A10"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i/>
                <w:sz w:val="18"/>
                <w:szCs w:val="18"/>
              </w:rPr>
              <w:t>TATCCAGGACGAAGTAAGAAACAA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BmfibL-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ATACCGATTGGTCACATAACAG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BmfibL-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GCAGATAGATGGGCGATAA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BmP25</w:t>
            </w:r>
            <w:r w:rsidRPr="00F245CB">
              <w:rPr>
                <w:sz w:val="18"/>
                <w:szCs w:val="18"/>
              </w:rPr>
              <w:t>-F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AGCCGCTGTGGCAGTTTTG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 w:rsidRPr="00F17A10">
              <w:rPr>
                <w:i/>
                <w:sz w:val="18"/>
                <w:szCs w:val="18"/>
              </w:rPr>
              <w:t>BmP25-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TAGGTGGCGTTGAAGTATGG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BmKr-h1-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CTTCCTCCTACTCCACCT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BmKr-h1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GGCAACGAAATGTAATGT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BmMet1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AATCTTGCCACCAACAGC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BmMet1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ACCCAACGCACATCTTCT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lastRenderedPageBreak/>
              <w:t>B</w:t>
            </w:r>
            <w:r>
              <w:rPr>
                <w:i/>
                <w:sz w:val="18"/>
                <w:szCs w:val="18"/>
              </w:rPr>
              <w:t>mMet2-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CCGAACCAACGCAGTATGTAA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mMet2-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ACGCACGACGCCAATGA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BmSRC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TCAAACGAGTCAAATAGGGTCA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BmSRC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GCGGTCGGTGGTAGGGTT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mjhe-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ACAGATTGGCGGTTTTCGGA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mjhe-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CCCTTAGCGGCATCAGACAT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Bmjheh-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GGACTCTTCGGGTTAGTGATAA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mjheh-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TGTGGTATTTCGTGCATTCC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Bmdimm-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CGTGGAACCCGCATTTGTA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Bmdimm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AACCTCGGCAATCCAGTCG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Bmsage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AGCAATCACGAAGGTCCGC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Bmsage</w:t>
            </w:r>
            <w:r w:rsidRPr="00F17A1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F17A10">
              <w:rPr>
                <w:sz w:val="18"/>
                <w:szCs w:val="18"/>
                <w:u w:val="single"/>
              </w:rPr>
              <w:t>CGTATCGTGGTTGGAGTCGT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msgf-1-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ATCCGACATTCGCTGTCCTT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msgf-1-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TGACGTCGCAAGAAACAACC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mEcR-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GCTGGTCTGATAACGGTGGCT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mEcR-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CAAGGATTCCGGCGACATAAC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mHR3-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TCAACGAGAAGACACCACGG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mHR3-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AGAAACATCCTGGGGCTTGC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mE75A-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GAAATTCCGCGCTATGAGGC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mE75A-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TTTTAGCGAGCACCGAATGC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mE74A-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AGCAGTCAACTGCAAGGGTA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mE74A-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GTGCCCGATCTAAGGAGTTG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mUSP-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AGAAGTGGACGTTCTTCGAG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mUSP-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GGTGGAACAGGTAGAGGTGC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BmBrc-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TCGCTGACAAACACGCTG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i/>
                <w:sz w:val="18"/>
                <w:szCs w:val="18"/>
              </w:rPr>
              <w:t>B</w:t>
            </w:r>
            <w:r>
              <w:rPr>
                <w:i/>
                <w:sz w:val="18"/>
                <w:szCs w:val="18"/>
              </w:rPr>
              <w:t>mBrc-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ATGGTAAGAACGGCGGAC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lastRenderedPageBreak/>
              <w:t>BmRPL3-2</w:t>
            </w:r>
            <w:r w:rsidRPr="001A4ED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F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TTCGTACTGGCTCTTCTCGT</w:t>
            </w:r>
          </w:p>
        </w:tc>
      </w:tr>
      <w:tr w:rsidR="0009632F" w:rsidTr="00E84281">
        <w:trPr>
          <w:trHeight w:val="522"/>
        </w:trPr>
        <w:tc>
          <w:tcPr>
            <w:tcW w:w="1241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BmRPL3-2</w:t>
            </w:r>
            <w:r w:rsidRPr="001A4ED0">
              <w:rPr>
                <w:i/>
                <w:sz w:val="18"/>
                <w:szCs w:val="18"/>
              </w:rPr>
              <w:t>-</w:t>
            </w:r>
            <w:r w:rsidRPr="00F245CB">
              <w:rPr>
                <w:sz w:val="18"/>
                <w:szCs w:val="18"/>
              </w:rPr>
              <w:t>R</w:t>
            </w:r>
          </w:p>
        </w:tc>
        <w:tc>
          <w:tcPr>
            <w:tcW w:w="3759" w:type="pct"/>
          </w:tcPr>
          <w:p w:rsidR="0009632F" w:rsidRDefault="0009632F" w:rsidP="00E84281">
            <w:pPr>
              <w:widowControl/>
              <w:spacing w:line="400" w:lineRule="exact"/>
              <w:jc w:val="left"/>
              <w:rPr>
                <w:sz w:val="18"/>
                <w:szCs w:val="18"/>
                <w:u w:val="single"/>
              </w:rPr>
            </w:pPr>
            <w:r w:rsidRPr="001A4ED0">
              <w:rPr>
                <w:sz w:val="18"/>
                <w:szCs w:val="18"/>
                <w:u w:val="single"/>
              </w:rPr>
              <w:t>CAAAGTTGATAGCAATTCCCT</w:t>
            </w:r>
          </w:p>
        </w:tc>
      </w:tr>
    </w:tbl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Table</w:t>
      </w:r>
      <w:r w:rsidRPr="00503492">
        <w:rPr>
          <w:rFonts w:ascii="Palatino Linotype" w:eastAsia="Times New Roman" w:hAnsi="Palatino Linotype" w:hint="eastAsia"/>
          <w:b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S2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>.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 Primer sets used in qRT-PCR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>.</w:t>
      </w:r>
    </w:p>
    <w:p w:rsidR="0009632F" w:rsidRDefault="0009632F" w:rsidP="0009632F">
      <w:pPr>
        <w:spacing w:line="300" w:lineRule="auto"/>
        <w:outlineLvl w:val="0"/>
        <w:rPr>
          <w:rStyle w:val="fontstyle01"/>
          <w:rFonts w:ascii="Times New Roman" w:eastAsia="宋体" w:hAnsi="Times New Roman" w:cs="Times New Roman"/>
          <w:sz w:val="24"/>
        </w:rPr>
      </w:pPr>
    </w:p>
    <w:p w:rsidR="0009632F" w:rsidRPr="00A15D29" w:rsidRDefault="0009632F" w:rsidP="0009632F">
      <w:pPr>
        <w:spacing w:line="300" w:lineRule="auto"/>
        <w:outlineLvl w:val="0"/>
        <w:rPr>
          <w:rStyle w:val="fontstyle01"/>
          <w:rFonts w:ascii="Times New Roman" w:eastAsia="宋体" w:hAnsi="Times New Roman" w:cs="Times New Roman"/>
          <w:sz w:val="24"/>
        </w:rPr>
      </w:pPr>
    </w:p>
    <w:p w:rsidR="0009632F" w:rsidRDefault="0009632F" w:rsidP="0009632F">
      <w:pPr>
        <w:spacing w:line="300" w:lineRule="auto"/>
        <w:outlineLvl w:val="0"/>
        <w:rPr>
          <w:rStyle w:val="fontstyle01"/>
          <w:rFonts w:ascii="Times New Roman" w:hAnsi="Times New Roman" w:cs="Times New Roman"/>
          <w:b w:val="0"/>
          <w:sz w:val="24"/>
        </w:rPr>
      </w:pPr>
      <w:r>
        <w:rPr>
          <w:rStyle w:val="fontstyle01"/>
          <w:rFonts w:ascii="Times New Roman" w:hAnsi="Times New Roman" w:cs="Times New Roman"/>
          <w:b w:val="0"/>
          <w:noProof/>
          <w:sz w:val="24"/>
        </w:rPr>
        <w:drawing>
          <wp:inline distT="0" distB="0" distL="114300" distR="114300" wp14:anchorId="650A6A48" wp14:editId="5B9C36DA">
            <wp:extent cx="5271135" cy="2338456"/>
            <wp:effectExtent l="0" t="0" r="571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Fig.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38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  <w:t>Figure S1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.</w:t>
      </w:r>
      <w:r>
        <w:rPr>
          <w:rStyle w:val="fontstyle01"/>
          <w:rFonts w:ascii="Times New Roman" w:hAnsi="Times New Roman" w:cs="Times New Roman"/>
          <w:sz w:val="24"/>
        </w:rPr>
        <w:t xml:space="preserve"> 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Main economic characters of different silk-producing strain. A. Pupaus and cocoons of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Dazao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and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S872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. B. Cocoon weight from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Dazao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and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S872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. C. Pupau weight from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Dazao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and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S872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. D. Cocoon shell weight from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Dazao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and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S872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. D. Cocoon shell percentage from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Dazao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and </w:t>
      </w:r>
      <w:r w:rsidRPr="00503492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S872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. Data are means ± SD. ***</w:t>
      </w:r>
      <w:r w:rsidRPr="006D6D35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P</w:t>
      </w:r>
      <w:r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&lt; 0.001.</w:t>
      </w:r>
    </w:p>
    <w:p w:rsidR="0009632F" w:rsidRDefault="00FF7461" w:rsidP="0009632F">
      <w:pPr>
        <w:spacing w:line="300" w:lineRule="auto"/>
        <w:outlineLvl w:val="0"/>
        <w:rPr>
          <w:rStyle w:val="fontstyle01"/>
          <w:rFonts w:ascii="Times New Roman" w:eastAsia="宋体" w:hAnsi="Times New Roman" w:cs="Times New Roman"/>
          <w:b w:val="0"/>
          <w:sz w:val="24"/>
        </w:rPr>
      </w:pPr>
      <w:r>
        <w:rPr>
          <w:rFonts w:ascii="Times New Roman" w:eastAsia="宋体" w:hAnsi="Times New Roman" w:cs="Times New Roman"/>
          <w:bCs/>
          <w:noProof/>
          <w:color w:val="000000"/>
          <w:sz w:val="24"/>
          <w:szCs w:val="20"/>
        </w:rPr>
        <w:drawing>
          <wp:inline distT="0" distB="0" distL="0" distR="0">
            <wp:extent cx="5274310" cy="12693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S2. Expression of silk protein transcription factor in wild type and transgenic lines.t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69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32F" w:rsidRPr="00503492" w:rsidRDefault="0009632F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 w:rsidRPr="00503492">
        <w:rPr>
          <w:rFonts w:ascii="Palatino Linotype" w:eastAsia="Times New Roman" w:hAnsi="Palatino Linotype"/>
          <w:b/>
          <w:kern w:val="0"/>
          <w:sz w:val="18"/>
          <w:lang w:eastAsia="de-DE" w:bidi="en-US"/>
        </w:rPr>
        <w:t>Figure S2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. Expression of silk protein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transcription factor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in </w:t>
      </w:r>
      <w:r w:rsidR="007130BF"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>wild type and transgenic lines.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</w:t>
      </w:r>
      <w:r w:rsidRPr="006D6D35">
        <w:rPr>
          <w:rFonts w:ascii="Palatino Linotype" w:eastAsia="Times New Roman" w:hAnsi="Palatino Linotype" w:hint="eastAsia"/>
          <w:i/>
          <w:kern w:val="0"/>
          <w:sz w:val="18"/>
          <w:lang w:eastAsia="de-DE" w:bidi="en-US"/>
        </w:rPr>
        <w:t>BmRpl3</w:t>
      </w:r>
      <w:r w:rsidRPr="00503492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 exp</w:t>
      </w:r>
      <w:r w:rsidR="006D6D35">
        <w:rPr>
          <w:rFonts w:ascii="Palatino Linotype" w:eastAsia="Times New Roman" w:hAnsi="Palatino Linotype" w:hint="eastAsia"/>
          <w:kern w:val="0"/>
          <w:sz w:val="18"/>
          <w:lang w:eastAsia="de-DE" w:bidi="en-US"/>
        </w:rPr>
        <w:t xml:space="preserve">ression was used as a control.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Results are expressed as means S.D. of three independent experiments. * </w:t>
      </w:r>
      <w:r w:rsidRPr="006D6D35">
        <w:rPr>
          <w:rFonts w:ascii="Palatino Linotype" w:eastAsia="Times New Roman" w:hAnsi="Palatino Linotype"/>
          <w:i/>
          <w:kern w:val="0"/>
          <w:sz w:val="18"/>
          <w:lang w:eastAsia="de-DE" w:bidi="en-US"/>
        </w:rPr>
        <w:t>P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 &lt; 0.05; ** </w:t>
      </w:r>
      <w:r w:rsidRPr="006D6D35">
        <w:rPr>
          <w:rFonts w:ascii="Palatino Linotype" w:eastAsia="Times New Roman" w:hAnsi="Palatino Linotype"/>
          <w:i/>
          <w:kern w:val="0"/>
          <w:sz w:val="18"/>
          <w:lang w:eastAsia="de-DE" w:bidi="en-US"/>
        </w:rPr>
        <w:t>P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 xml:space="preserve"> &lt;0.01; *** </w:t>
      </w:r>
      <w:r w:rsidRPr="006D6D35">
        <w:rPr>
          <w:rFonts w:ascii="Palatino Linotype" w:eastAsia="Times New Roman" w:hAnsi="Palatino Linotype"/>
          <w:i/>
          <w:kern w:val="0"/>
          <w:sz w:val="18"/>
          <w:lang w:eastAsia="de-DE" w:bidi="en-US"/>
        </w:rPr>
        <w:t xml:space="preserve">P </w:t>
      </w:r>
      <w:r w:rsidRPr="00503492">
        <w:rPr>
          <w:rFonts w:ascii="Palatino Linotype" w:eastAsia="Times New Roman" w:hAnsi="Palatino Linotype"/>
          <w:kern w:val="0"/>
          <w:sz w:val="18"/>
          <w:lang w:eastAsia="de-DE" w:bidi="en-US"/>
        </w:rPr>
        <w:t>&lt; 0.001.</w:t>
      </w:r>
    </w:p>
    <w:p w:rsidR="0009632F" w:rsidRDefault="0009632F" w:rsidP="0009632F">
      <w:pPr>
        <w:spacing w:line="300" w:lineRule="auto"/>
        <w:outlineLvl w:val="0"/>
        <w:rPr>
          <w:rStyle w:val="fontstyle01"/>
          <w:rFonts w:ascii="Times New Roman" w:eastAsia="宋体" w:hAnsi="Times New Roman" w:cs="Times New Roman"/>
          <w:sz w:val="24"/>
        </w:rPr>
      </w:pPr>
    </w:p>
    <w:p w:rsidR="0009632F" w:rsidRDefault="0009632F" w:rsidP="0009632F">
      <w:pPr>
        <w:spacing w:line="300" w:lineRule="auto"/>
        <w:outlineLvl w:val="0"/>
        <w:rPr>
          <w:rStyle w:val="fontstyle01"/>
          <w:rFonts w:ascii="Times New Roman" w:eastAsia="宋体" w:hAnsi="Times New Roman" w:cs="Times New Roman"/>
          <w:b w:val="0"/>
          <w:sz w:val="24"/>
        </w:rPr>
      </w:pPr>
    </w:p>
    <w:p w:rsidR="0009632F" w:rsidRPr="00503492" w:rsidRDefault="00FF7461" w:rsidP="0009632F">
      <w:pPr>
        <w:spacing w:line="300" w:lineRule="auto"/>
        <w:outlineLvl w:val="0"/>
        <w:rPr>
          <w:rFonts w:ascii="Palatino Linotype" w:eastAsia="Times New Roman" w:hAnsi="Palatino Linotype"/>
          <w:kern w:val="0"/>
          <w:sz w:val="18"/>
          <w:lang w:eastAsia="de-DE" w:bidi="en-US"/>
        </w:rPr>
      </w:pPr>
      <w:r>
        <w:rPr>
          <w:rFonts w:ascii="Times New Roman" w:eastAsia="宋体" w:hAnsi="Times New Roman" w:cs="Times New Roman" w:hint="eastAsia"/>
          <w:b/>
          <w:bCs/>
          <w:noProof/>
          <w:color w:val="000000"/>
          <w:sz w:val="24"/>
          <w:szCs w:val="20"/>
        </w:rPr>
        <w:lastRenderedPageBreak/>
        <w:drawing>
          <wp:inline distT="0" distB="0" distL="0" distR="0">
            <wp:extent cx="5274310" cy="1801495"/>
            <wp:effectExtent l="0" t="0" r="254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S3. Overexpression of BmJHBPd2 results in inhibition of JH catabolic enzyme in silk gland assayed by qRT-PCR.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9632F">
        <w:rPr>
          <w:rStyle w:val="fontstyle01"/>
          <w:rFonts w:ascii="Times New Roman" w:eastAsia="宋体" w:hAnsi="Times New Roman" w:cs="Times New Roman" w:hint="eastAsia"/>
          <w:sz w:val="24"/>
        </w:rPr>
        <w:t xml:space="preserve"> </w:t>
      </w:r>
      <w:r w:rsidR="0009632F" w:rsidRPr="00503492">
        <w:rPr>
          <w:rFonts w:ascii="Palatino Linotype" w:eastAsia="Times New Roman" w:hAnsi="Palatino Linotype"/>
          <w:b/>
          <w:bCs/>
          <w:kern w:val="0"/>
          <w:sz w:val="18"/>
          <w:lang w:eastAsia="de-DE" w:bidi="en-US"/>
        </w:rPr>
        <w:t>Figure S3</w:t>
      </w:r>
      <w:r w:rsidR="0009632F" w:rsidRPr="00503492">
        <w:rPr>
          <w:rFonts w:ascii="Palatino Linotype" w:eastAsia="Times New Roman" w:hAnsi="Palatino Linotype" w:hint="eastAsia"/>
          <w:b/>
          <w:bCs/>
          <w:kern w:val="0"/>
          <w:sz w:val="18"/>
          <w:lang w:eastAsia="de-DE" w:bidi="en-US"/>
        </w:rPr>
        <w:t>.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Overexpression of </w:t>
      </w:r>
      <w:r w:rsidR="0009632F" w:rsidRPr="006D6D35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BmJHBPd2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results in inhibition of JH </w:t>
      </w:r>
      <w:r w:rsidR="00F05BEA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catabolic enzyme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in silk gland. The following JH 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catabolic enzyme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related genes were selected: 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>JHE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>(A)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>and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JHEH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(B). </w:t>
      </w:r>
      <w:r w:rsidR="0009632F" w:rsidRPr="006D6D35">
        <w:rPr>
          <w:rFonts w:ascii="Palatino Linotype" w:eastAsia="Times New Roman" w:hAnsi="Palatino Linotype" w:hint="eastAsia"/>
          <w:bCs/>
          <w:i/>
          <w:kern w:val="0"/>
          <w:sz w:val="18"/>
          <w:lang w:eastAsia="de-DE" w:bidi="en-US"/>
        </w:rPr>
        <w:t>BmRpl3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ex</w:t>
      </w:r>
      <w:r w:rsidR="006D6D35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>pression is shown as a control.</w:t>
      </w:r>
      <w:r w:rsidR="0009632F" w:rsidRPr="00503492">
        <w:rPr>
          <w:rFonts w:ascii="Palatino Linotype" w:eastAsia="Times New Roman" w:hAnsi="Palatino Linotype" w:hint="eastAsia"/>
          <w:bCs/>
          <w:kern w:val="0"/>
          <w:sz w:val="18"/>
          <w:lang w:eastAsia="de-DE" w:bidi="en-US"/>
        </w:rPr>
        <w:t xml:space="preserve"> Results are expressed as means S.D. of three independent experiments.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* </w:t>
      </w:r>
      <w:r w:rsidR="0009632F" w:rsidRPr="006D6D35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P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&lt; 0.05; ** </w:t>
      </w:r>
      <w:r w:rsidR="0009632F" w:rsidRPr="006D6D35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P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&lt;0.01; *** </w:t>
      </w:r>
      <w:r w:rsidR="0009632F" w:rsidRPr="006D6D35">
        <w:rPr>
          <w:rFonts w:ascii="Palatino Linotype" w:eastAsia="Times New Roman" w:hAnsi="Palatino Linotype"/>
          <w:bCs/>
          <w:i/>
          <w:kern w:val="0"/>
          <w:sz w:val="18"/>
          <w:lang w:eastAsia="de-DE" w:bidi="en-US"/>
        </w:rPr>
        <w:t>P</w:t>
      </w:r>
      <w:r w:rsidR="0009632F" w:rsidRPr="00503492">
        <w:rPr>
          <w:rFonts w:ascii="Palatino Linotype" w:eastAsia="Times New Roman" w:hAnsi="Palatino Linotype"/>
          <w:bCs/>
          <w:kern w:val="0"/>
          <w:sz w:val="18"/>
          <w:lang w:eastAsia="de-DE" w:bidi="en-US"/>
        </w:rPr>
        <w:t xml:space="preserve"> &lt; 0.001.</w:t>
      </w:r>
    </w:p>
    <w:p w:rsidR="0009632F" w:rsidRDefault="0009632F" w:rsidP="0009632F">
      <w:pPr>
        <w:spacing w:line="300" w:lineRule="auto"/>
        <w:outlineLvl w:val="0"/>
      </w:pPr>
    </w:p>
    <w:p w:rsidR="00346CF8" w:rsidRDefault="00346CF8"/>
    <w:sectPr w:rsidR="00346CF8"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86D" w:rsidRDefault="00C6286D" w:rsidP="0009632F">
      <w:r>
        <w:separator/>
      </w:r>
    </w:p>
  </w:endnote>
  <w:endnote w:type="continuationSeparator" w:id="0">
    <w:p w:rsidR="00C6286D" w:rsidRDefault="00C6286D" w:rsidP="0009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bqpgTimes-Bold">
    <w:altName w:val="Times New Roman"/>
    <w:charset w:val="00"/>
    <w:family w:val="roman"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86D" w:rsidRDefault="00C6286D" w:rsidP="0009632F">
      <w:r>
        <w:separator/>
      </w:r>
    </w:p>
  </w:footnote>
  <w:footnote w:type="continuationSeparator" w:id="0">
    <w:p w:rsidR="00C6286D" w:rsidRDefault="00C6286D" w:rsidP="000963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B82"/>
    <w:rsid w:val="00034B82"/>
    <w:rsid w:val="0009632F"/>
    <w:rsid w:val="00346CF8"/>
    <w:rsid w:val="00503492"/>
    <w:rsid w:val="006D6D35"/>
    <w:rsid w:val="007130BF"/>
    <w:rsid w:val="008917CA"/>
    <w:rsid w:val="00B93416"/>
    <w:rsid w:val="00BE25F9"/>
    <w:rsid w:val="00C6286D"/>
    <w:rsid w:val="00CA7ACE"/>
    <w:rsid w:val="00D139F5"/>
    <w:rsid w:val="00F05BEA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1B8557F-EB41-47C9-860B-F206ED23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2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3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63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63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632F"/>
    <w:rPr>
      <w:sz w:val="18"/>
      <w:szCs w:val="18"/>
    </w:rPr>
  </w:style>
  <w:style w:type="table" w:styleId="a7">
    <w:name w:val="Table Grid"/>
    <w:basedOn w:val="a1"/>
    <w:uiPriority w:val="39"/>
    <w:qFormat/>
    <w:rsid w:val="0009632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qFormat/>
    <w:rsid w:val="0009632F"/>
    <w:rPr>
      <w:b/>
      <w:bCs/>
    </w:rPr>
  </w:style>
  <w:style w:type="character" w:customStyle="1" w:styleId="fontstyle01">
    <w:name w:val="fontstyle01"/>
    <w:basedOn w:val="a0"/>
    <w:qFormat/>
    <w:rsid w:val="0009632F"/>
    <w:rPr>
      <w:rFonts w:ascii="MvbqpgTimes-Bold" w:hAnsi="MvbqpgTimes-Bold" w:hint="default"/>
      <w:b/>
      <w:bCs/>
      <w:color w:val="000000"/>
      <w:sz w:val="20"/>
      <w:szCs w:val="20"/>
    </w:rPr>
  </w:style>
  <w:style w:type="paragraph" w:customStyle="1" w:styleId="a9">
    <w:name w:val="论文图表标题"/>
    <w:basedOn w:val="a"/>
    <w:qFormat/>
    <w:rsid w:val="0009632F"/>
    <w:pPr>
      <w:spacing w:line="360" w:lineRule="exact"/>
      <w:jc w:val="center"/>
    </w:pPr>
    <w:rPr>
      <w:rFonts w:eastAsia="黑体"/>
    </w:rPr>
  </w:style>
  <w:style w:type="paragraph" w:customStyle="1" w:styleId="EndNoteBibliography">
    <w:name w:val="EndNote Bibliography"/>
    <w:link w:val="EndNoteBibliography0"/>
    <w:qFormat/>
    <w:rsid w:val="0009632F"/>
    <w:pPr>
      <w:jc w:val="both"/>
    </w:pPr>
    <w:rPr>
      <w:sz w:val="20"/>
      <w:szCs w:val="24"/>
    </w:rPr>
  </w:style>
  <w:style w:type="character" w:customStyle="1" w:styleId="EndNoteBibliography0">
    <w:name w:val="EndNote Bibliography 字符"/>
    <w:basedOn w:val="a0"/>
    <w:link w:val="EndNoteBibliography"/>
    <w:rsid w:val="0009632F"/>
    <w:rPr>
      <w:sz w:val="20"/>
      <w:szCs w:val="24"/>
    </w:rPr>
  </w:style>
  <w:style w:type="character" w:styleId="aa">
    <w:name w:val="line number"/>
    <w:basedOn w:val="a0"/>
    <w:uiPriority w:val="99"/>
    <w:semiHidden/>
    <w:unhideWhenUsed/>
    <w:rsid w:val="0009632F"/>
  </w:style>
  <w:style w:type="paragraph" w:customStyle="1" w:styleId="MDPI21heading1">
    <w:name w:val="MDPI_2.1_heading1"/>
    <w:qFormat/>
    <w:rsid w:val="0050349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kern w:val="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2023-04-18T02:12:00Z</dcterms:created>
  <dcterms:modified xsi:type="dcterms:W3CDTF">2023-05-10T03:14:00Z</dcterms:modified>
</cp:coreProperties>
</file>